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阿图什市第二双语幼儿园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2019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阿图什市第二双语幼儿园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阿图什市第二双语幼儿园2019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414141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 w:cs="Times New Roman"/>
          <w:sz w:val="32"/>
          <w:szCs w:val="32"/>
        </w:rPr>
        <w:t>、正确贯彻执行党和国家的教育方针、政策、法规。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2、维护学校的教学秩序，为学生创造良好的学习环境。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3、积极稳妥的推进教育改革，按教育规律办事，不断提高教育质量。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4、根据学校规模，设置学校管理机构，建立健全各项规章制度和岗位责任制。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5、坚持教书育人，服务育人，环境育人方针，加强对学生思想品德教育，使学生的德智体全面发展。</w:t>
      </w:r>
    </w:p>
    <w:p>
      <w:pPr>
        <w:pStyle w:val="6"/>
        <w:spacing w:beforeAutospacing="0" w:afterAutospacing="0" w:line="52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6、抓好教师队伍建设，使每个教师都热心于教育事业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阿图什市第二双语幼儿园无下属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，下设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分别是：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书记室，园长室，财务室，办公室，保健室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阿图什市第二双语幼儿园     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9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122.47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旅游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11.92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210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自然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海洋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储备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阿图什市第二双语幼儿园</w:t>
      </w:r>
      <w:r>
        <w:rPr>
          <w:rFonts w:hint="eastAsia" w:ascii="仿宋_GB2312" w:hAnsi="宋体" w:eastAsia="仿宋_GB2312"/>
          <w:kern w:val="0"/>
          <w:sz w:val="24"/>
        </w:rPr>
        <w:t xml:space="preserve">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9"/>
        <w:tblW w:w="9659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929"/>
        <w:gridCol w:w="772"/>
        <w:gridCol w:w="709"/>
        <w:gridCol w:w="709"/>
        <w:gridCol w:w="567"/>
        <w:gridCol w:w="567"/>
        <w:gridCol w:w="567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122.47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122.47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122.47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122.47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阿图什市第二双语幼儿园        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9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11.92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11.92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学前教育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122.47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122.47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134.38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134.38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阿图什市第二双语幼儿园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9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  <w:tab w:val="right" w:pos="1179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38"/>
                <w:tab w:val="right" w:pos="1355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仿宋_GB2312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国有资本经营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122.47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122.47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旅游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11.92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11.92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210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自然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海洋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储备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债务发行费支出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134.38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9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阿图什市第二双语幼儿园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11.92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122.47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122.47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134.38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134.38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9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阿图什市第二双语幼儿园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134.38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28.72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9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569"/>
        <w:gridCol w:w="536"/>
        <w:gridCol w:w="652"/>
        <w:gridCol w:w="652"/>
        <w:gridCol w:w="578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阿图什市第二双语幼儿园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 w:cs="Times New Roman"/>
          <w:b/>
          <w:kern w:val="0"/>
          <w:sz w:val="28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  <w:lang w:val="en-US" w:eastAsia="zh-CN"/>
        </w:rPr>
        <w:t>2019年阿图什市第二双语幼儿园未安排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一般公共预算项目支出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  <w:lang w:eastAsia="zh-CN"/>
        </w:rPr>
        <w:t>预算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。</w:t>
      </w:r>
    </w:p>
    <w:p/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阿图什市第二双语幼儿园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</w:rPr>
        <w:t xml:space="preserve">       单位：万元</w:t>
      </w:r>
    </w:p>
    <w:tbl>
      <w:tblPr>
        <w:tblStyle w:val="9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/>
          <w:b/>
          <w:kern w:val="0"/>
          <w:sz w:val="24"/>
          <w:szCs w:val="24"/>
        </w:rPr>
        <w:t>备注：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>2019年阿图什市第二双语幼儿园未安排</w:t>
      </w:r>
      <w:r>
        <w:rPr>
          <w:rFonts w:hint="eastAsia" w:ascii="仿宋_GB2312" w:hAnsi="宋体" w:eastAsia="仿宋_GB2312"/>
          <w:b/>
          <w:kern w:val="0"/>
          <w:sz w:val="24"/>
          <w:szCs w:val="24"/>
        </w:rPr>
        <w:t>一般公共预算“三公”经费支出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阿图什市第二双语幼儿园  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9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  <w:lang w:val="en-US" w:eastAsia="zh-CN"/>
        </w:rPr>
        <w:t>2019年阿图什市第二双语幼儿园未安排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政府性基金预算支出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  <w:lang w:eastAsia="zh-CN"/>
        </w:rPr>
        <w:t>预算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32"/>
        </w:rPr>
        <w:t>。</w:t>
      </w: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支出、社会保障和就业支出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18.62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压缩经费。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%，比上年预算增加（减少）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万元，主要原因是未安排预算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国有资本经营预算未安排。或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%，比上年预算增加（减少）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348.26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压缩经费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比上年执行数增加15万元，增长9.15%，主要原因;人员工资增加。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收入全部为一般公共预算拨款，无政府性基金预算拨款和国有资本经营预算。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万元。</w:t>
      </w:r>
    </w:p>
    <w:p>
      <w:pPr>
        <w:pStyle w:val="3"/>
        <w:ind w:firstLine="616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一般公共预算支出包括：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支出134.38万元，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主要用于发放人员工资和公用经费、缴纳社保等支出。</w:t>
      </w:r>
    </w:p>
    <w:p>
      <w:pPr>
        <w:pStyle w:val="3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上年执行数增加15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9.15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%。主要原因是：人员工资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122.47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社会保障和就业11.92万元占9%。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普通教育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初中教育（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122.47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12%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压缩经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     </w:t>
      </w:r>
    </w:p>
    <w:p>
      <w:pPr>
        <w:spacing w:line="560" w:lineRule="exact"/>
        <w:ind w:firstLine="640" w:firstLineChars="200"/>
        <w:rPr>
          <w:rFonts w:hint="default" w:ascii="仿宋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（208）行政事业单位养老支出（05）机关事业单位基本养老保险缴费支出（05）：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2019年预算数为11.92万元比上年执行数减少2.6万元，下降18%主要原因压缩经费。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134.38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退休费、抚恤金、生活补助、医疗费补助、助学金、奖励金、其他对个人和家庭的补助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专用燃料费、劳务费、工会经费、福利费、公务用车运行维护费、其他交通费用、税金及附加费用、其他商品和服务支出、办公设备购置、专用设备购置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阿图什市第二双语幼儿园2019年未安排一般公共预算项目支出预算。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年一般公共预算“三公”经费数为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；公务用车购置费为0万元，主要原因是未安排预算。[或公务用车购置费增加（减少）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家事业单位的机关运行经费财政拨款预算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增长29.4%。主要原因学生人数增加。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2019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阿图什市第二双语幼儿园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1849.5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tbl>
      <w:tblPr>
        <w:tblStyle w:val="9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阿图什市第二双语幼儿园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无其他需说明的事项。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部门支出预算的组成部分，是本级部门为完成其特定的行政任务或事业发展目标，在基本支出预算之外编制的年度项目支出计划。</w:t>
      </w:r>
      <w:bookmarkStart w:id="0" w:name="_GoBack"/>
      <w:bookmarkEnd w:id="0"/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936615" cy="1181735"/>
            <wp:effectExtent l="0" t="0" r="6985" b="18415"/>
            <wp:docPr id="1" name="图片 1" descr="Feige图片2021060616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ige图片202106061652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20285" cy="2553335"/>
            <wp:effectExtent l="0" t="0" r="18415" b="18415"/>
            <wp:docPr id="2" name="图片 2" descr="Feige图片2021060617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ige图片20210606175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E282D"/>
    <w:multiLevelType w:val="singleLevel"/>
    <w:tmpl w:val="9FFE282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365F6"/>
    <w:rsid w:val="006D258D"/>
    <w:rsid w:val="03FE38AB"/>
    <w:rsid w:val="04C6395E"/>
    <w:rsid w:val="073E387E"/>
    <w:rsid w:val="07D72717"/>
    <w:rsid w:val="080F671E"/>
    <w:rsid w:val="08626D58"/>
    <w:rsid w:val="08D007BB"/>
    <w:rsid w:val="0A40340E"/>
    <w:rsid w:val="0E7B69CC"/>
    <w:rsid w:val="0E8762D2"/>
    <w:rsid w:val="101F6974"/>
    <w:rsid w:val="11EE63F3"/>
    <w:rsid w:val="1202045E"/>
    <w:rsid w:val="140543B1"/>
    <w:rsid w:val="17700DF6"/>
    <w:rsid w:val="17C62346"/>
    <w:rsid w:val="18B528A0"/>
    <w:rsid w:val="196B668F"/>
    <w:rsid w:val="19983A91"/>
    <w:rsid w:val="1A391CB2"/>
    <w:rsid w:val="1AEC7D83"/>
    <w:rsid w:val="1B335EC1"/>
    <w:rsid w:val="1D69681C"/>
    <w:rsid w:val="1E1D1809"/>
    <w:rsid w:val="1EC715BC"/>
    <w:rsid w:val="1F925851"/>
    <w:rsid w:val="1FF13814"/>
    <w:rsid w:val="26541B01"/>
    <w:rsid w:val="26E1718A"/>
    <w:rsid w:val="27BA0A89"/>
    <w:rsid w:val="2851355A"/>
    <w:rsid w:val="2AAC1692"/>
    <w:rsid w:val="2BE67BD8"/>
    <w:rsid w:val="2E013412"/>
    <w:rsid w:val="2F090C2A"/>
    <w:rsid w:val="3370408F"/>
    <w:rsid w:val="354F08B5"/>
    <w:rsid w:val="356D3369"/>
    <w:rsid w:val="360E0746"/>
    <w:rsid w:val="367B3706"/>
    <w:rsid w:val="394E40FA"/>
    <w:rsid w:val="3AEE6670"/>
    <w:rsid w:val="3DF11436"/>
    <w:rsid w:val="403D3233"/>
    <w:rsid w:val="40F0699D"/>
    <w:rsid w:val="42C77866"/>
    <w:rsid w:val="42E77A55"/>
    <w:rsid w:val="452F6AE9"/>
    <w:rsid w:val="45D14ECA"/>
    <w:rsid w:val="46D2162A"/>
    <w:rsid w:val="47860282"/>
    <w:rsid w:val="49A16B13"/>
    <w:rsid w:val="49DE7A7E"/>
    <w:rsid w:val="4B0F403F"/>
    <w:rsid w:val="4B5234DF"/>
    <w:rsid w:val="4C0D094B"/>
    <w:rsid w:val="4C4F46F0"/>
    <w:rsid w:val="4C6F2F97"/>
    <w:rsid w:val="4CD20C49"/>
    <w:rsid w:val="4F7A6653"/>
    <w:rsid w:val="4FEA0D36"/>
    <w:rsid w:val="52850D03"/>
    <w:rsid w:val="533F6378"/>
    <w:rsid w:val="53D81224"/>
    <w:rsid w:val="5400738D"/>
    <w:rsid w:val="546F027A"/>
    <w:rsid w:val="551A0A11"/>
    <w:rsid w:val="592365F6"/>
    <w:rsid w:val="5D2E34B2"/>
    <w:rsid w:val="5D6D1DB6"/>
    <w:rsid w:val="5E5E4D8F"/>
    <w:rsid w:val="61637C6B"/>
    <w:rsid w:val="61667092"/>
    <w:rsid w:val="62530F95"/>
    <w:rsid w:val="62A245D4"/>
    <w:rsid w:val="66E57D73"/>
    <w:rsid w:val="687A13A7"/>
    <w:rsid w:val="688168E3"/>
    <w:rsid w:val="69791BB0"/>
    <w:rsid w:val="6B921AD4"/>
    <w:rsid w:val="6E9C6F0E"/>
    <w:rsid w:val="6F3A288C"/>
    <w:rsid w:val="6F792492"/>
    <w:rsid w:val="7010305B"/>
    <w:rsid w:val="73C12E4D"/>
    <w:rsid w:val="74475EBD"/>
    <w:rsid w:val="747A2EDE"/>
    <w:rsid w:val="76C11FD0"/>
    <w:rsid w:val="76CD17FA"/>
    <w:rsid w:val="775D5A15"/>
    <w:rsid w:val="780E0C8E"/>
    <w:rsid w:val="79461A13"/>
    <w:rsid w:val="7B37451B"/>
    <w:rsid w:val="7B7F45D6"/>
    <w:rsid w:val="7BC9085E"/>
    <w:rsid w:val="7D3F3890"/>
    <w:rsid w:val="7F7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ascii="仿宋_GB2312" w:hAnsi="仿宋_GB2312" w:eastAsia="仿宋_GB2312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2021-02-07T11:07:00Z</dcterms:created>
  <dc:creator>Administrator</dc:creator>
  <cp:lastModifiedBy>Administrator</cp:lastModifiedBy>
  <dcterms:modified xsi:type="dcterms:W3CDTF">2021-06-15T11:15:16Z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