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  <w:lang w:val="en-US" w:eastAsia="zh-CN"/>
        </w:rPr>
        <w:t>3</w:t>
      </w:r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jc w:val="center"/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jc w:val="center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  <w:t>地质灾害监测部门及其联系方式</w:t>
      </w:r>
      <w:bookmarkEnd w:id="0"/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jc w:val="center"/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>一、地质灾害监测部门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1.区级：自治区地质环境管理处（自治区地质环境监测总院）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2.州级：克州自然资源局（喀什地质环境监测站）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3.县级：阿图什市自然资源局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0"/>
          <w:sz w:val="32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1.自然资源部地环司             010—66127230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2.自治区自然资源厅地环处       0991—8813141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3.克州自然资源局 0908—4235233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0908—4222397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传真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电子信箱：eric20040510@163.com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4.喀什地质环境监测站           0998—2926707</w:t>
      </w:r>
    </w:p>
    <w:p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5.阿图什市自然资源局           0908—4222252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3A21"/>
    <w:rsid w:val="126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2024-05-13T06:23:00Z</dcterms:created>
  <dc:creator>Administrator</dc:creator>
  <cp:lastModifiedBy>Administrator</cp:lastModifiedBy>
  <dcterms:modified xsi:type="dcterms:W3CDTF">2024-05-13T06:23:20Z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512858E9AE9540D2A8E0A0732DD81F9B</vt:lpwstr>
  </property>
</Properties>
</file>